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B4" w:rsidRDefault="007444B4" w:rsidP="007444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Criteria for Appling Reduced Facilities and Administration</w:t>
      </w:r>
    </w:p>
    <w:p w:rsidR="007444B4" w:rsidRDefault="007444B4" w:rsidP="007444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(F&amp;A</w:t>
      </w:r>
      <w:r w:rsidR="00637B30">
        <w:rPr>
          <w:rFonts w:ascii="Arial" w:hAnsi="Arial" w:cs="Arial"/>
          <w:b/>
          <w:bCs/>
          <w:sz w:val="24"/>
          <w:szCs w:val="24"/>
        </w:rPr>
        <w:t xml:space="preserve">)  </w:t>
      </w:r>
      <w:r>
        <w:rPr>
          <w:rFonts w:ascii="Arial" w:hAnsi="Arial" w:cs="Arial"/>
          <w:b/>
          <w:bCs/>
          <w:sz w:val="24"/>
          <w:szCs w:val="24"/>
        </w:rPr>
        <w:t>Rate for Clinical Trials**</w:t>
      </w:r>
    </w:p>
    <w:p w:rsidR="007444B4" w:rsidRDefault="007444B4" w:rsidP="007444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44B4" w:rsidRDefault="007444B4" w:rsidP="007444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F&amp;A (indirect cost) rate of 26% of total direct costs is applied to clinical trials that are performed by investigators at the University of Missouri-Kansas City.</w:t>
      </w:r>
      <w:r w:rsidR="00C27B6A">
        <w:rPr>
          <w:rFonts w:ascii="Arial" w:hAnsi="Arial" w:cs="Arial"/>
          <w:sz w:val="20"/>
          <w:szCs w:val="20"/>
        </w:rPr>
        <w:t xml:space="preserve"> Total Direct Cost (TDC) is defined as all proposed direct costs minus expenditures for IRB fees, which is only charged on industry-funded clinical trials.</w:t>
      </w:r>
    </w:p>
    <w:p w:rsidR="007444B4" w:rsidRDefault="007444B4" w:rsidP="007444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44B4" w:rsidRDefault="007444B4" w:rsidP="007444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NOTE:</w:t>
      </w:r>
    </w:p>
    <w:p w:rsidR="007444B4" w:rsidRDefault="007444B4" w:rsidP="007444B4">
      <w:pPr>
        <w:autoSpaceDE w:val="0"/>
        <w:autoSpaceDN w:val="0"/>
        <w:adjustRightInd w:val="0"/>
        <w:ind w:left="432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The source of funding for the project is not the determining factor in qualifying for this rate.</w:t>
      </w:r>
    </w:p>
    <w:p w:rsidR="007444B4" w:rsidRDefault="007444B4" w:rsidP="007444B4">
      <w:pPr>
        <w:autoSpaceDE w:val="0"/>
        <w:autoSpaceDN w:val="0"/>
        <w:adjustRightInd w:val="0"/>
        <w:ind w:left="432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The research subjects must be studied under an IRB approved protocol.</w:t>
      </w:r>
    </w:p>
    <w:p w:rsidR="007444B4" w:rsidRDefault="007444B4" w:rsidP="007444B4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Commercially sponsored projects not meeting the criteria below will require the full UMKC research F&amp;A rate.</w:t>
      </w:r>
    </w:p>
    <w:p w:rsidR="007444B4" w:rsidRDefault="007444B4" w:rsidP="00637B3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Studies meeting the criteria below that are funded by not-for-profit organizations may charge a rate</w:t>
      </w:r>
      <w:r w:rsidR="00637B30">
        <w:rPr>
          <w:rFonts w:ascii="Arial" w:hAnsi="Arial" w:cs="Arial"/>
          <w:sz w:val="20"/>
          <w:szCs w:val="20"/>
        </w:rPr>
        <w:t xml:space="preserve"> as </w:t>
      </w:r>
      <w:r>
        <w:rPr>
          <w:rFonts w:ascii="Arial" w:hAnsi="Arial" w:cs="Arial"/>
          <w:sz w:val="20"/>
          <w:szCs w:val="20"/>
        </w:rPr>
        <w:t>determined by negotiation between ORS and the sponsor agency.</w:t>
      </w:r>
    </w:p>
    <w:p w:rsidR="007444B4" w:rsidRDefault="007444B4" w:rsidP="00637B3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44B4" w:rsidRPr="007444B4" w:rsidRDefault="007444B4" w:rsidP="007444B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7444B4">
        <w:rPr>
          <w:rFonts w:ascii="Arial" w:hAnsi="Arial" w:cs="Arial"/>
          <w:sz w:val="20"/>
          <w:szCs w:val="20"/>
          <w:u w:val="single"/>
        </w:rPr>
        <w:t xml:space="preserve">For a trial to qualify for the reduced 26% F&amp;A rate, </w:t>
      </w:r>
      <w:r w:rsidRPr="007444B4">
        <w:rPr>
          <w:rFonts w:ascii="Arial" w:hAnsi="Arial" w:cs="Arial"/>
          <w:i/>
          <w:iCs/>
          <w:sz w:val="20"/>
          <w:szCs w:val="20"/>
          <w:u w:val="single"/>
        </w:rPr>
        <w:t xml:space="preserve">all </w:t>
      </w:r>
      <w:r w:rsidRPr="007444B4">
        <w:rPr>
          <w:rFonts w:ascii="Arial" w:hAnsi="Arial" w:cs="Arial"/>
          <w:sz w:val="20"/>
          <w:szCs w:val="20"/>
          <w:u w:val="single"/>
        </w:rPr>
        <w:t>of the following criteria must be met (except in the special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7444B4">
        <w:rPr>
          <w:rFonts w:ascii="Arial" w:hAnsi="Arial" w:cs="Arial"/>
          <w:sz w:val="20"/>
          <w:szCs w:val="20"/>
          <w:u w:val="single"/>
        </w:rPr>
        <w:t>cases indicated):</w:t>
      </w:r>
    </w:p>
    <w:p w:rsidR="007444B4" w:rsidRDefault="007444B4" w:rsidP="009236B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The study must be human clinical research.</w:t>
      </w:r>
    </w:p>
    <w:p w:rsidR="007444B4" w:rsidRDefault="007444B4" w:rsidP="009236B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The study must occur in a clinical care area that meets all local and national standards for patient care.</w:t>
      </w:r>
    </w:p>
    <w:p w:rsidR="007444B4" w:rsidRDefault="007444B4" w:rsidP="009236B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The research study budget must be appropriately charged for all expenses related to the study, including, but not limited to, personnel time and utilization of clinical care space.</w:t>
      </w:r>
    </w:p>
    <w:p w:rsidR="007444B4" w:rsidRDefault="007444B4" w:rsidP="009236B0">
      <w:pPr>
        <w:autoSpaceDE w:val="0"/>
        <w:autoSpaceDN w:val="0"/>
        <w:adjustRightInd w:val="0"/>
        <w:ind w:left="576" w:hanging="144"/>
        <w:rPr>
          <w:rFonts w:ascii="Arial" w:hAnsi="Arial" w:cs="Arial"/>
          <w:b/>
          <w:bCs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The research subjects cannot be charged for research-specific care.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:rsidR="00D14483" w:rsidRDefault="00D14483" w:rsidP="009236B0">
      <w:pPr>
        <w:autoSpaceDE w:val="0"/>
        <w:autoSpaceDN w:val="0"/>
        <w:adjustRightInd w:val="0"/>
        <w:ind w:left="576" w:hanging="144"/>
        <w:rPr>
          <w:rFonts w:ascii="Arial" w:hAnsi="Arial" w:cs="Arial"/>
          <w:b/>
          <w:bCs/>
          <w:sz w:val="20"/>
          <w:szCs w:val="20"/>
        </w:rPr>
      </w:pPr>
    </w:p>
    <w:p w:rsidR="007444B4" w:rsidRPr="00D14483" w:rsidRDefault="00D14483" w:rsidP="00D14483">
      <w:pPr>
        <w:autoSpaceDE w:val="0"/>
        <w:autoSpaceDN w:val="0"/>
        <w:adjustRightInd w:val="0"/>
        <w:ind w:left="432"/>
        <w:rPr>
          <w:rFonts w:ascii="Arial" w:hAnsi="Arial" w:cs="Arial"/>
          <w:sz w:val="20"/>
          <w:szCs w:val="20"/>
          <w:u w:val="single"/>
        </w:rPr>
      </w:pPr>
      <w:r w:rsidRPr="00D14483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444B4" w:rsidRPr="00D14483">
        <w:rPr>
          <w:rFonts w:ascii="Arial" w:hAnsi="Arial" w:cs="Arial"/>
          <w:b/>
          <w:bCs/>
          <w:sz w:val="20"/>
          <w:szCs w:val="20"/>
        </w:rPr>
        <w:t>*</w:t>
      </w:r>
      <w:r w:rsidR="007444B4" w:rsidRPr="00D14483">
        <w:rPr>
          <w:rFonts w:ascii="Arial" w:hAnsi="Arial" w:cs="Arial"/>
          <w:sz w:val="20"/>
          <w:szCs w:val="20"/>
          <w:u w:val="single"/>
        </w:rPr>
        <w:t xml:space="preserve">This criterion is not required if </w:t>
      </w:r>
      <w:r w:rsidR="007444B4" w:rsidRPr="00D14483">
        <w:rPr>
          <w:rFonts w:ascii="Arial" w:hAnsi="Arial" w:cs="Arial"/>
          <w:b/>
          <w:bCs/>
          <w:sz w:val="20"/>
          <w:szCs w:val="20"/>
          <w:u w:val="single"/>
        </w:rPr>
        <w:t xml:space="preserve">ALL </w:t>
      </w:r>
      <w:r w:rsidR="007444B4" w:rsidRPr="00D14483">
        <w:rPr>
          <w:rFonts w:ascii="Arial" w:hAnsi="Arial" w:cs="Arial"/>
          <w:sz w:val="20"/>
          <w:szCs w:val="20"/>
          <w:u w:val="single"/>
        </w:rPr>
        <w:t>of the following apply:</w:t>
      </w:r>
    </w:p>
    <w:p w:rsidR="007444B4" w:rsidRDefault="007444B4" w:rsidP="00D14483">
      <w:pPr>
        <w:autoSpaceDE w:val="0"/>
        <w:autoSpaceDN w:val="0"/>
        <w:adjustRightInd w:val="0"/>
        <w:ind w:left="129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The study involves a marketed drug or device or late phase New Chemical Entity, tested under Treatment</w:t>
      </w:r>
      <w:r w:rsidR="00923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Investigational New Drug or Compassionate Use protocols approved by the IRB.</w:t>
      </w:r>
    </w:p>
    <w:p w:rsidR="007444B4" w:rsidRDefault="007444B4" w:rsidP="00D14483">
      <w:pPr>
        <w:autoSpaceDE w:val="0"/>
        <w:autoSpaceDN w:val="0"/>
        <w:adjustRightInd w:val="0"/>
        <w:ind w:left="129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Use is judged by the investigator to be the only viable treatment option.</w:t>
      </w:r>
    </w:p>
    <w:p w:rsidR="007444B4" w:rsidRDefault="007444B4" w:rsidP="00D14483">
      <w:pPr>
        <w:autoSpaceDE w:val="0"/>
        <w:autoSpaceDN w:val="0"/>
        <w:adjustRightInd w:val="0"/>
        <w:ind w:left="129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Data are being collected.</w:t>
      </w:r>
    </w:p>
    <w:p w:rsidR="007444B4" w:rsidRDefault="007444B4" w:rsidP="00D14483">
      <w:pPr>
        <w:autoSpaceDE w:val="0"/>
        <w:autoSpaceDN w:val="0"/>
        <w:adjustRightInd w:val="0"/>
        <w:ind w:left="129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Application of the full F&amp;A rate would make availability of the agent to the patient/subject cost-prohibitive.</w:t>
      </w:r>
    </w:p>
    <w:p w:rsidR="009236B0" w:rsidRDefault="009236B0" w:rsidP="007444B4">
      <w:pPr>
        <w:autoSpaceDE w:val="0"/>
        <w:autoSpaceDN w:val="0"/>
        <w:adjustRightInd w:val="0"/>
        <w:ind w:left="432"/>
        <w:rPr>
          <w:rFonts w:ascii="Arial" w:hAnsi="Arial" w:cs="Arial"/>
          <w:sz w:val="20"/>
          <w:szCs w:val="20"/>
        </w:rPr>
      </w:pPr>
    </w:p>
    <w:p w:rsidR="007444B4" w:rsidRPr="00D14483" w:rsidRDefault="007444B4" w:rsidP="00D1448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D14483">
        <w:rPr>
          <w:rFonts w:ascii="Arial" w:hAnsi="Arial" w:cs="Arial"/>
          <w:sz w:val="20"/>
          <w:szCs w:val="20"/>
          <w:u w:val="single"/>
        </w:rPr>
        <w:t xml:space="preserve">Studies that do </w:t>
      </w:r>
      <w:r w:rsidRPr="00D14483">
        <w:rPr>
          <w:rFonts w:ascii="Arial" w:hAnsi="Arial" w:cs="Arial"/>
          <w:b/>
          <w:bCs/>
          <w:sz w:val="20"/>
          <w:szCs w:val="20"/>
          <w:u w:val="single"/>
        </w:rPr>
        <w:t xml:space="preserve">NOT </w:t>
      </w:r>
      <w:r w:rsidRPr="00D14483">
        <w:rPr>
          <w:rFonts w:ascii="Arial" w:hAnsi="Arial" w:cs="Arial"/>
          <w:sz w:val="20"/>
          <w:szCs w:val="20"/>
          <w:u w:val="single"/>
        </w:rPr>
        <w:t>meet the criteria for the 26% TDC F&amp;A rate:</w:t>
      </w:r>
    </w:p>
    <w:p w:rsidR="007444B4" w:rsidRDefault="007444B4" w:rsidP="00D14483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Studies taking place in research laboratories or facilities that are not approved for clinical care, including</w:t>
      </w:r>
      <w:r w:rsidR="00D144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studies involving human fluids, </w:t>
      </w:r>
      <w:r w:rsidR="00637B30">
        <w:rPr>
          <w:rFonts w:ascii="Arial" w:hAnsi="Arial" w:cs="Arial"/>
          <w:sz w:val="20"/>
          <w:szCs w:val="20"/>
        </w:rPr>
        <w:t>cells,</w:t>
      </w:r>
      <w:r>
        <w:rPr>
          <w:rFonts w:ascii="Arial" w:hAnsi="Arial" w:cs="Arial"/>
          <w:sz w:val="20"/>
          <w:szCs w:val="20"/>
        </w:rPr>
        <w:t xml:space="preserve"> or tissues.</w:t>
      </w:r>
    </w:p>
    <w:p w:rsidR="007444B4" w:rsidRDefault="007444B4" w:rsidP="00D14483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Studies involving only reviews of patient records</w:t>
      </w:r>
    </w:p>
    <w:p w:rsidR="007444B4" w:rsidRDefault="007444B4" w:rsidP="00D14483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Contracts solely for acquisition of human tissue, </w:t>
      </w:r>
      <w:r w:rsidR="00637B30">
        <w:rPr>
          <w:rFonts w:ascii="Arial" w:hAnsi="Arial" w:cs="Arial"/>
          <w:sz w:val="20"/>
          <w:szCs w:val="20"/>
        </w:rPr>
        <w:t>fluids,</w:t>
      </w:r>
      <w:r w:rsidR="00AE4AEF">
        <w:rPr>
          <w:rFonts w:ascii="Arial" w:hAnsi="Arial" w:cs="Arial"/>
          <w:sz w:val="20"/>
          <w:szCs w:val="20"/>
        </w:rPr>
        <w:t xml:space="preserve"> or cells to be stored (at UMKC</w:t>
      </w:r>
      <w:r>
        <w:rPr>
          <w:rFonts w:ascii="Arial" w:hAnsi="Arial" w:cs="Arial"/>
          <w:sz w:val="20"/>
          <w:szCs w:val="20"/>
        </w:rPr>
        <w:t xml:space="preserve"> or externally) for future</w:t>
      </w:r>
      <w:r w:rsidR="00D14483">
        <w:rPr>
          <w:rFonts w:ascii="Arial" w:hAnsi="Arial" w:cs="Arial"/>
          <w:sz w:val="20"/>
          <w:szCs w:val="20"/>
        </w:rPr>
        <w:t xml:space="preserve"> </w:t>
      </w:r>
      <w:r w:rsidR="00AE4AEF">
        <w:rPr>
          <w:rFonts w:ascii="Arial" w:hAnsi="Arial" w:cs="Arial"/>
          <w:sz w:val="20"/>
          <w:szCs w:val="20"/>
        </w:rPr>
        <w:t>research at UMKC</w:t>
      </w:r>
      <w:r>
        <w:rPr>
          <w:rFonts w:ascii="Arial" w:hAnsi="Arial" w:cs="Arial"/>
          <w:sz w:val="20"/>
          <w:szCs w:val="20"/>
        </w:rPr>
        <w:t xml:space="preserve"> or at an outside agency or institution.</w:t>
      </w:r>
    </w:p>
    <w:p w:rsidR="00D14483" w:rsidRDefault="00D14483" w:rsidP="00D14483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</w:p>
    <w:p w:rsidR="007444B4" w:rsidRDefault="007444B4" w:rsidP="00744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**Source: </w:t>
      </w:r>
      <w:r w:rsidR="00D14483">
        <w:rPr>
          <w:rFonts w:ascii="Arial" w:hAnsi="Arial" w:cs="Arial"/>
          <w:bCs/>
          <w:sz w:val="18"/>
          <w:szCs w:val="18"/>
        </w:rPr>
        <w:t>Adopted from materials d</w:t>
      </w:r>
      <w:r w:rsidR="00D14483">
        <w:rPr>
          <w:rFonts w:ascii="Arial" w:hAnsi="Arial" w:cs="Arial"/>
          <w:sz w:val="18"/>
          <w:szCs w:val="18"/>
        </w:rPr>
        <w:t>eveloped by the UM-C</w:t>
      </w:r>
      <w:r>
        <w:rPr>
          <w:rFonts w:ascii="Arial" w:hAnsi="Arial" w:cs="Arial"/>
          <w:sz w:val="18"/>
          <w:szCs w:val="18"/>
        </w:rPr>
        <w:t xml:space="preserve"> School of Medicine Office of Medical Research and </w:t>
      </w:r>
      <w:r w:rsidR="00D14483">
        <w:rPr>
          <w:rFonts w:ascii="Arial" w:hAnsi="Arial" w:cs="Arial"/>
          <w:sz w:val="18"/>
          <w:szCs w:val="18"/>
        </w:rPr>
        <w:t xml:space="preserve">the UM-C </w:t>
      </w:r>
      <w:r>
        <w:rPr>
          <w:rFonts w:ascii="Arial" w:hAnsi="Arial" w:cs="Arial"/>
          <w:sz w:val="18"/>
          <w:szCs w:val="18"/>
        </w:rPr>
        <w:t>Office of Sponsored Programs</w:t>
      </w:r>
      <w:r w:rsidR="00D144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Administration</w:t>
      </w:r>
    </w:p>
    <w:p w:rsidR="00D14483" w:rsidRDefault="00D14483" w:rsidP="007444B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444B4" w:rsidRDefault="007444B4" w:rsidP="007444B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Definition of Clinical Research*</w:t>
      </w:r>
    </w:p>
    <w:p w:rsidR="007444B4" w:rsidRDefault="007444B4" w:rsidP="007444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research is a component of medical and health research intended to produce knowledge valuable for</w:t>
      </w:r>
      <w:r w:rsidR="00D144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understanding human disease, preventing and treating illness, and promoting health</w:t>
      </w:r>
      <w:r w:rsidR="00637B30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Clinical research embraces</w:t>
      </w:r>
      <w:r w:rsidR="00D144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continuum of studies involving interaction with patients, diagnostic clinical materials or data, or populations, in</w:t>
      </w:r>
      <w:r w:rsidR="00D144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 of these categories:</w:t>
      </w:r>
    </w:p>
    <w:p w:rsidR="00EF7550" w:rsidRDefault="00EF7550" w:rsidP="007444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44B4" w:rsidRDefault="007444B4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disease mechanisms (etiopathogenesis)</w:t>
      </w:r>
    </w:p>
    <w:p w:rsidR="007444B4" w:rsidRDefault="007444B4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bi-directional (translational) research</w:t>
      </w:r>
    </w:p>
    <w:p w:rsidR="007444B4" w:rsidRDefault="007444B4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clinical knowledge, detection, diagnosis, and natural history of disease</w:t>
      </w:r>
    </w:p>
    <w:p w:rsidR="007444B4" w:rsidRDefault="007444B4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therapeutic interventions including clinical trials of drugs, biologics, devices and</w:t>
      </w:r>
    </w:p>
    <w:p w:rsidR="007444B4" w:rsidRDefault="00EF7550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444B4">
        <w:rPr>
          <w:rFonts w:ascii="Arial" w:hAnsi="Arial" w:cs="Arial"/>
          <w:sz w:val="20"/>
          <w:szCs w:val="20"/>
        </w:rPr>
        <w:t>instruments</w:t>
      </w:r>
    </w:p>
    <w:p w:rsidR="007444B4" w:rsidRDefault="007444B4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prevention (primary and secondary) and health promotion</w:t>
      </w:r>
    </w:p>
    <w:p w:rsidR="007444B4" w:rsidRDefault="007444B4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behavioral research</w:t>
      </w:r>
    </w:p>
    <w:p w:rsidR="007444B4" w:rsidRDefault="007444B4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health services research, including outcomes, and cost-effectiveness</w:t>
      </w:r>
    </w:p>
    <w:p w:rsidR="007444B4" w:rsidRDefault="007444B4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epidemiology</w:t>
      </w:r>
    </w:p>
    <w:p w:rsidR="007444B4" w:rsidRDefault="007444B4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community-based and managed care-based research.</w:t>
      </w:r>
    </w:p>
    <w:p w:rsidR="00EF7550" w:rsidRDefault="00EF7550" w:rsidP="00EF7550">
      <w:pPr>
        <w:autoSpaceDE w:val="0"/>
        <w:autoSpaceDN w:val="0"/>
        <w:adjustRightInd w:val="0"/>
        <w:ind w:left="576" w:hanging="144"/>
        <w:rPr>
          <w:rFonts w:ascii="Arial" w:hAnsi="Arial" w:cs="Arial"/>
          <w:sz w:val="20"/>
          <w:szCs w:val="20"/>
        </w:rPr>
      </w:pPr>
    </w:p>
    <w:p w:rsidR="00EF2F7D" w:rsidRDefault="007444B4" w:rsidP="00EF7550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sz w:val="18"/>
          <w:szCs w:val="18"/>
        </w:rPr>
        <w:t xml:space="preserve">*Source: </w:t>
      </w:r>
      <w:r>
        <w:rPr>
          <w:rFonts w:ascii="Arial" w:hAnsi="Arial" w:cs="Arial"/>
          <w:sz w:val="18"/>
          <w:szCs w:val="18"/>
        </w:rPr>
        <w:t>Consensus Development Conference at the Graylyn Conference Center, Winston-Salem, North Carolina, November</w:t>
      </w:r>
      <w:r w:rsidR="00EF75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20-22, 1998 as part of the Clinical Research Summit Project sponsored by the AAMC, AMA, and the Wake Forest University</w:t>
      </w:r>
      <w:r w:rsidR="00EF75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School of Medicine</w:t>
      </w:r>
      <w:r w:rsidR="00EF7550">
        <w:rPr>
          <w:rFonts w:ascii="Arial" w:hAnsi="Arial" w:cs="Arial"/>
          <w:sz w:val="18"/>
          <w:szCs w:val="18"/>
        </w:rPr>
        <w:t>.</w:t>
      </w:r>
    </w:p>
    <w:sectPr w:rsidR="00EF2F7D" w:rsidSect="00EF755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4"/>
    <w:rsid w:val="00637B30"/>
    <w:rsid w:val="007444B4"/>
    <w:rsid w:val="009236B0"/>
    <w:rsid w:val="00AE4AEF"/>
    <w:rsid w:val="00C27B6A"/>
    <w:rsid w:val="00D14483"/>
    <w:rsid w:val="00DA4572"/>
    <w:rsid w:val="00EF2F7D"/>
    <w:rsid w:val="00E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knoust</dc:creator>
  <cp:lastModifiedBy>Daugherty, Linda J.</cp:lastModifiedBy>
  <cp:revision>2</cp:revision>
  <dcterms:created xsi:type="dcterms:W3CDTF">2012-10-19T15:38:00Z</dcterms:created>
  <dcterms:modified xsi:type="dcterms:W3CDTF">2012-10-19T15:38:00Z</dcterms:modified>
</cp:coreProperties>
</file>